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E5" w:rsidRPr="00D06417" w:rsidRDefault="00E42636">
      <w:pPr>
        <w:rPr>
          <w:rFonts w:ascii="Times New Roman" w:hAnsi="Times New Roman" w:cs="Times New Roman"/>
          <w:b/>
          <w:sz w:val="24"/>
          <w:szCs w:val="24"/>
        </w:rPr>
      </w:pPr>
      <w:r w:rsidRPr="00D06417">
        <w:rPr>
          <w:rFonts w:ascii="Times New Roman" w:hAnsi="Times New Roman" w:cs="Times New Roman"/>
          <w:b/>
          <w:sz w:val="24"/>
          <w:szCs w:val="24"/>
        </w:rPr>
        <w:t>Об отношении теософов</w:t>
      </w:r>
      <w:r w:rsidR="00416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417">
        <w:rPr>
          <w:rFonts w:ascii="Times New Roman" w:hAnsi="Times New Roman" w:cs="Times New Roman"/>
          <w:b/>
          <w:sz w:val="24"/>
          <w:szCs w:val="24"/>
        </w:rPr>
        <w:t xml:space="preserve"> к другим учениям</w:t>
      </w:r>
    </w:p>
    <w:p w:rsidR="006E0C51" w:rsidRDefault="00D06417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возвращения к озвучиванию этой точки зрения в РТО  вызвана фактом формального отношения в нём, к неоднократным утверждениям Основателей о том, что каждый теософ, для своего развития, для расширения своего понимания, может исследовать любые </w:t>
      </w:r>
      <w:proofErr w:type="spell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эз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экзотерические, а так же философские учения, проводя их сравнительный анализ. Члену Теософского общества не возбраняется исповедовать любую религию, даже ходить в церковь, если ему это необходимо, и вообще, в Теософском Обществе, нет непр</w:t>
      </w:r>
      <w:r w:rsid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рекаемых авторитетов. Главное – поддерживать одну из целей Общества,  в частности, изначальное всемирное единство, которое в человеческом сообществе, выражено в идее братства.</w:t>
      </w:r>
    </w:p>
    <w:p w:rsidR="004600E3" w:rsidRDefault="00953011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сложном положении оказывается неофит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приступивший к Теософскому исследованию, ему трудно понять с чего начинать изучение: с «Тайной Доктрины», с «Писем </w:t>
      </w:r>
      <w:proofErr w:type="spell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Махатм</w:t>
      </w:r>
      <w:proofErr w:type="spell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«Агни-Йоги», трудов А. </w:t>
      </w:r>
      <w:proofErr w:type="spell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«Учения Храма». Ведь на первый взгляд, все это теософия? Но, так как освоить сразу всё,  сил не хватает, он начинает искать, что-то 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его восприятия и понимания. И в конечном результате он пополняет ряды членов ТО, которые достаточно далеки от идеи теософии. Поэтому, хотелось бы, донести до теософской аудитории следующие,</w:t>
      </w:r>
      <w:r w:rsidR="005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 взгляд,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основополагающие, стержневые</w:t>
      </w:r>
      <w:r w:rsidR="00D0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моменты:</w:t>
      </w:r>
    </w:p>
    <w:p w:rsidR="00490B07" w:rsidRDefault="004600E3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а/ Всемирное Братство – есть единство в главной цели; постижения знаний, ведущих к Истине</w:t>
      </w:r>
      <w:r w:rsidR="00BC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98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/Древней Мудрости/.  Махатмы это определяют так: «Всемирное Братство, т.е. «родство»</w:t>
      </w:r>
      <w:r w:rsidR="00BC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98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сильных магнетических, но все же различных энергий и полярностей, сконцентрированных</w:t>
      </w:r>
      <w:r w:rsidR="009C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63C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одной доминирующей идеи» /Письмо</w:t>
      </w:r>
      <w:r w:rsidR="009C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63C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6, с. 42/.</w:t>
      </w:r>
      <w:r w:rsidR="00BC5E98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BC5E98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/ Н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пути, существенную помощь в формировании правильного восприятия Теософской Доктрины, могут оказать признанные Теософы-Основатели – это Е.П. Блаватская и Махатмы, которые продвинулись в своем духовном развитии, далеко вперед, и дали нам некоторые знания и понятия Учения Древне-Арийской Философии Вед.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/ К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теософ волен читать и изучать любые другие философские труды, взгляды и источники, но, при этом, он не имеет права ни смешивать, ни подменять их, с тем духовным наследием, которое  было изначально передано последователям, Отцами-Основателями через Е.П. Блаватскую.</w:t>
      </w:r>
    </w:p>
    <w:p w:rsidR="001D2598" w:rsidRDefault="00490B07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тупиковый путь, - начинать изучение «Тайной Доктрины» и  Учения Древне-Арийской Философии Вед, через призму других вероучений, которые к ней не имеют никакого отношения! Поэтому Е</w:t>
      </w:r>
      <w:r w:rsidR="001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2B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етровна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писала, обращаясь 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будущим </w:t>
      </w:r>
      <w:proofErr w:type="spellStart"/>
      <w:r w:rsidR="001D25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</w:t>
      </w:r>
      <w:proofErr w:type="spellEnd"/>
      <w:r w:rsidR="001D25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B2B8B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Теософии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"Заблудиться в разрозненной информации можно быстрее</w:t>
      </w:r>
      <w:r w:rsidR="00490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дремучем лесу!"</w:t>
      </w:r>
    </w:p>
    <w:p w:rsidR="00513C3C" w:rsidRDefault="001B2B8B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Неофит, погрузившись в искажённую, разрозненную информацию, в этом случае, просто не сможет выработать основного, необходимого мировоззренческого стержня восприятия и понимания, на который потом сможет опереться в дальнейшем исс</w:t>
      </w:r>
      <w:r w:rsid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едовании  Учения Древне-Арийской Философии Вед и в своём духовном развитии!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неопытным, начинающим неофитам внушить, что пока те, не изучат, скажем, «Агн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йогу», или какие-то другие посторонние вероучения, то приступать к «Тайной Доктрине» нельзя, ибо вы ничего не поймёте, то это значит, послать их долгим, окольным путём, который, мало того, что уведёт в сторону с праведного исследовательского пути, но в добавок, отнимет, в блужданиях столько времени и сил, что на 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скорее всего, изучение будет закончено, поскольку начин</w:t>
      </w:r>
      <w:r w:rsidR="00F611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всё сначала, не всякий сможет.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здесь, уместно будет вспомнить </w:t>
      </w:r>
      <w:proofErr w:type="spell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дзенскую</w:t>
      </w:r>
      <w:proofErr w:type="spell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притчу о пришедшем к одному Учителю 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ученике, изъявившем желание у него многому научится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предварительно хвастливо заявив, что он, уже учился у многих других учителей, и уже довольно много знает! На это Учитель, просто предложил хвастливому ученику выпить чаю, и стал наливать чай ему в чашку. И когда чай, полился через края чашки, ученик закричал, что чашка уже полна, и в неё уже больше не влезет!! На что Учитель спокойно заметил: - " Вот так и ты, настолько </w:t>
      </w:r>
    </w:p>
    <w:p w:rsidR="00513C3C" w:rsidRDefault="00513C3C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- 2 -</w:t>
      </w:r>
    </w:p>
    <w:p w:rsidR="00513C3C" w:rsidRDefault="00513C3C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98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переполнен различной информацией, которую ты считаешь знанием, что я не смогу больше, ничего в твою голову вместить, там просто больше нет места!"</w:t>
      </w:r>
    </w:p>
    <w:p w:rsidR="00C2498E" w:rsidRDefault="007E7742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Призывать начинающих к изучению отвлечённого материала, может только лишь тот, кто сам поверхностно ознакоми</w:t>
      </w:r>
      <w:r w:rsidR="00ED63F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Start w:id="0" w:name="_GoBack"/>
      <w:bookmarkEnd w:id="0"/>
      <w:r w:rsidR="00C2498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трудами Елены Петровны, и для кого изучать ее труды, оказалось просто невозможным, в силу ограниченности восприятия, чрезмерной сложности, и не доступности, вследствие уже описа</w:t>
      </w:r>
      <w:r w:rsidR="00351B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выше причин, ошибок и заблуждений, и теперь эти усталые от бе</w:t>
      </w:r>
      <w:r w:rsidR="00F6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смысленных, ни к чему не приведших блужданий люди,  просто  ищут более</w:t>
      </w:r>
      <w:proofErr w:type="gramEnd"/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для их ограниченного сознания путей, в лёгкой и простой форме изложения древнейших истин, без надежды на получение, каких либо дополнительных знаний по этому вопросу.</w:t>
      </w:r>
    </w:p>
    <w:p w:rsidR="005C4B7A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 если на заре создания Теософского Общества не было, ни «Тайной Доктрины», ни «Писем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Махатм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вера в этих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Махатм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держалась на неких феноменах, то сегодня уже совсем другое время, и понятие Всемирного Братства имеет для нас вполне определенное, практическое наполнение.</w:t>
      </w:r>
    </w:p>
    <w:p w:rsidR="005C4B7A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Осознание такой позиции приходит только после длительного, усердного и скрупулёзного изучения трудов Е.П. Блаватской,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Махатм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учеников, через осмысление, развитие духовного восприятия получаемых знаний, через духовную интуицию.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К.Х в Письме 57: «Наша Доктрина не знает компромиссов». «Никогда не найдут нас идущими на компромисс и потворствующим общественным предрассудкам» /Письмо 91. С</w:t>
      </w:r>
      <w:r w:rsidR="005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4B7A">
        <w:rPr>
          <w:rFonts w:ascii="Times New Roman" w:eastAsia="Times New Roman" w:hAnsi="Times New Roman" w:cs="Times New Roman"/>
          <w:sz w:val="24"/>
          <w:szCs w:val="24"/>
          <w:lang w:eastAsia="ru-RU"/>
        </w:rPr>
        <w:t>351-352/.</w:t>
      </w:r>
    </w:p>
    <w:p w:rsidR="007F508D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 так называемые «друг</w:t>
      </w:r>
      <w:r w:rsidR="00C47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учения и вероучения» как раз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идут на компромисс, отклоняясь от основополагающих постулатов учения Древней Мудрости,  вплоть до его полного искажения. В чем эти отклонения – это предмет для отдельного, детального и серьезного разговора /в качестве  примера можно привести две статьи «Рерихи и теософия» и «А.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теософия» в разделе «Статьи теософов»/. Но проявления этих компромиссов и отклонений можно сегодня увидеть на примере «творческой» жизнедеятельности Российского теософского общества.</w:t>
      </w:r>
    </w:p>
    <w:p w:rsidR="00513C3C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Достаточно большая группа теософов одержима идеей 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</w:t>
      </w:r>
      <w:proofErr w:type="gram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они называют «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Калачакрой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голословно утверждая, что это учение вытекает из «Тайной Доктрины». Но изучение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шлок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«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Дзиан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через призму  синих зайцев и розовых  поросят очень сомнительно и, как </w:t>
      </w:r>
      <w:r w:rsidR="0082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представляется, даже вредно, ибо начинающим теософам достаточно сложно понять, причем здесь весь этот зоопарк. 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последователи, по прошествии пятнадцати лет старательного изучения китайского календаря "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Калачакры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признавались, что потратив столько лет на её изучение, ни к чему так и не пришли, и единственное, что они узнали, это то, что по году рождения, они такое-то цветное животное...</w:t>
      </w:r>
      <w:proofErr w:type="gramEnd"/>
      <w:r w:rsidR="0094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школьную пору, этот китайский календарь, ходил у нас по рукам в самиздатовских копиях,</w:t>
      </w:r>
      <w:r w:rsidR="0068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мы, ещё тогда, знали кто какое животное и какого цвета, а теперь, апгрейд этого китайского календаря, это заимствование чужого бренда, (поскольку буддийская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Калачакра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буддийское учение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Калачакры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этому календарю, никакого отношения не имеет, и по своей сути, является банальным обманом) выдаётся как учение</w:t>
      </w:r>
      <w:proofErr w:type="gram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мало того, ещё и аффилированное с теософским учением, что уже, совсем недопустимо! 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теософов, старательно изучающих труды Рерихов, до такой степени, что уверовали в свою способность претворить в жизнь идею своих кумиров по объединению всех религий в одну, и создания, с этой целью, на Алтае, храмового комплекса всех религий, для всех верующих, состоящего из отдельно стоящих часовен, в стиле каждой религии и для отправления ритуалов приверженцев соответствующих конфессий.</w:t>
      </w:r>
      <w:proofErr w:type="gram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эту идею вынашивали ещё Рерихи, когда выстраивали свой «Великий план» 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2A8" w:rsidRDefault="006832A8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3C" w:rsidRDefault="00513C3C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- 3 -</w:t>
      </w:r>
    </w:p>
    <w:p w:rsidR="00513C3C" w:rsidRDefault="00513C3C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B1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расчленению России, то ныне, этот план, на редкость удачно вписывается в соответствующую концепцию международного финансового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олигархата</w:t>
      </w:r>
      <w:proofErr w:type="spellEnd"/>
      <w:r w:rsidR="0035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его вездесущими пророками типа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Сореса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8020B1" w:rsidRDefault="008020B1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BD6"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город Звенигород, на Алтае, должен был стать столицей молодого государства, которое получит название «Священный Союз Востока», по другому варианту – «Восточный Священный Союз». </w:t>
      </w:r>
    </w:p>
    <w:p w:rsidR="00D906A1" w:rsidRDefault="005C3BD6" w:rsidP="00D0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Рерихи, разрабатывая план Союза Востока и видя в нем государство, созданное на основе объединения советского коммунизма с первоначальным учением Будды /в той форме, в которой они его понимали/, планировали возвести на Алтае в горах /в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Уймонской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долине/ храм «Синтеза всех религий». </w:t>
      </w:r>
      <w:proofErr w:type="gram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 последователи Рерихов, прикрываясь теософским обществом и теософским учением, не вникая в суть предложенного Рерихами расчленения России, толи не видят, толи не хотят видеть, что синтезируя разные религии, Рерихи изымали из них </w:t>
      </w:r>
      <w:proofErr w:type="spellStart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сущностно</w:t>
      </w:r>
      <w:proofErr w:type="spellEnd"/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важные элементы, которые являются общим зерном этих религий, а иногда и полностью переворачивали все с ног на голову /подробнее читайте в статье «Рерихи и теософия»/.</w:t>
      </w:r>
      <w:proofErr w:type="gramEnd"/>
    </w:p>
    <w:p w:rsidR="005C3BD6" w:rsidRDefault="005C3BD6" w:rsidP="00D079D9">
      <w:pPr>
        <w:spacing w:after="0" w:line="240" w:lineRule="auto"/>
        <w:jc w:val="both"/>
      </w:pP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Другим проявлением подобных компромиссов и отклонений, является само собой разумеющимся фактом приглашение на VI теософскую конференцию руководителей «Студии Синтез» из С-Петербурга, которые на полном серьезе предложили  участникам конференции освоить медитативные техники, способствующие в виде инструмента манипуляции человеческим сознанием. И таким теософам, с багажом не</w:t>
      </w:r>
      <w:r w:rsidR="0035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</w:t>
      </w:r>
      <w:r w:rsidR="00351B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знаний «других учений», будет трудно понять, что еще немного и РТО не минуемо, шаг за шагом, будет превращаться в религиозную секту, хотя возможно, именно к этому-то, они и стремятся! </w:t>
      </w:r>
    </w:p>
    <w:p w:rsidR="006F7899" w:rsidRPr="00D079D9" w:rsidRDefault="00D06417" w:rsidP="006F7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7899" w:rsidRPr="00A2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теософ может изучать любые другие учения, кроме основных, и фундаментальных, но, не смешивая их до такой степени, когда уже не понятно о чем идет речь, не рассматривая, например, «Тайную Доктрину» через призму «других учений». Тот, кто глубоко изучает наследие, данное </w:t>
      </w:r>
      <w:proofErr w:type="spellStart"/>
      <w:r w:rsidR="006F7899" w:rsidRPr="00A21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Махатмами</w:t>
      </w:r>
      <w:proofErr w:type="spellEnd"/>
      <w:r w:rsidR="006F7899" w:rsidRPr="00A2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Е.П. Блаватскую, понимает, что ни учение А. </w:t>
      </w:r>
      <w:proofErr w:type="spellStart"/>
      <w:r w:rsidR="006F7899" w:rsidRPr="00A21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="006F7899" w:rsidRPr="00A21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труды Рерихов, ни «Учение Храма» и многое другое, никакого отношения к теософии не имеют.</w:t>
      </w:r>
      <w:r w:rsidR="006F7899" w:rsidRPr="00D0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99" w:rsidRDefault="006F7899" w:rsidP="00D04AC9">
      <w:pPr>
        <w:jc w:val="both"/>
      </w:pPr>
    </w:p>
    <w:sectPr w:rsidR="006F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36"/>
    <w:rsid w:val="000869D8"/>
    <w:rsid w:val="001B2B8B"/>
    <w:rsid w:val="001D2598"/>
    <w:rsid w:val="00233F9E"/>
    <w:rsid w:val="003457FD"/>
    <w:rsid w:val="00351B64"/>
    <w:rsid w:val="003F6325"/>
    <w:rsid w:val="00416152"/>
    <w:rsid w:val="004600E3"/>
    <w:rsid w:val="00490B07"/>
    <w:rsid w:val="004A6BE5"/>
    <w:rsid w:val="00513C3C"/>
    <w:rsid w:val="005C3BD6"/>
    <w:rsid w:val="005C4B7A"/>
    <w:rsid w:val="005E3071"/>
    <w:rsid w:val="006832A8"/>
    <w:rsid w:val="006E0C51"/>
    <w:rsid w:val="006F7899"/>
    <w:rsid w:val="007E7742"/>
    <w:rsid w:val="007F508D"/>
    <w:rsid w:val="008020B1"/>
    <w:rsid w:val="0082446D"/>
    <w:rsid w:val="00943B8A"/>
    <w:rsid w:val="00953011"/>
    <w:rsid w:val="009A7AA8"/>
    <w:rsid w:val="009C063C"/>
    <w:rsid w:val="00A21A6A"/>
    <w:rsid w:val="00BC5E98"/>
    <w:rsid w:val="00C2498E"/>
    <w:rsid w:val="00C4718C"/>
    <w:rsid w:val="00CD2B81"/>
    <w:rsid w:val="00CF3509"/>
    <w:rsid w:val="00D04AC9"/>
    <w:rsid w:val="00D06417"/>
    <w:rsid w:val="00D079D9"/>
    <w:rsid w:val="00D906A1"/>
    <w:rsid w:val="00E42636"/>
    <w:rsid w:val="00ED63F9"/>
    <w:rsid w:val="00F6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4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2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8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6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41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7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17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93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58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2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2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993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646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411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02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51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77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2153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864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2020-04-03T19:14:00Z</dcterms:created>
  <dcterms:modified xsi:type="dcterms:W3CDTF">2020-04-04T18:06:00Z</dcterms:modified>
</cp:coreProperties>
</file>